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Týden 1. - 7. února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Devítka mečů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Rytíř pentaklů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Dvojka mečů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Tento týden bude trochu náročnější.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Můžeme se cítit v pasti, svíráni ze všech stran a možná se nám podaří propadnout strachu či panice.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 to pochopitelné a přirozené, nemělo by nás to vyděsit víc, než je nutné.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Zastavte se, zbavte se věcí, co vás svazují, zažeňte úzkost a otevřete srdce dokořán.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Všechno zlé se z něj může vyplavit…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Dýchejte, držte hlavu vzhůru a radujte se z toho, co už máte.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Týden uteče jako voda...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💗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Hodně sil a radosti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přejí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za tým Agnesia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PS. Od příštího úplňku bude příslušná mandala dostupná vždy od novu do novu na našich webových stránkách (tedy 14 dnů před a 14 dnů po úplňku), kdybyste chtěli mít delší čas na přípravu a malování. V neděli před úplňkem vám samozřejmě přijde do vašich mailových schránek. Doufáme, že vás tato změna potěší.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